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中国人物画知识图谱数据结构 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(M3 Framework)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概述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中国人物画知识图谱 M3 数据结构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是一个专为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重构中国古代画家艺术生态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而设计的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宏观-中观-微观 (Macro-Meso-Micro)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多粒度框架。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本结构突破了传统博物馆“以藏品为中心 (Object-Centered)”的编目模式，确立了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“以画家为核心 (Painter-Centric)”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的逻辑枢纽。它旨在解决中国艺术史研究中的四大核心痛点：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身份与网络的复杂性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：通过集成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CBDB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，还原画家作为文人官僚的仕途履历，以及构建包含同僚、师徒、亲眷在内的复杂社交网络。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文献与实物的断裂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：通过链接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IIIF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，打通“画上题跋-古籍记载-图像细节”的证据链，实现图文互证。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真伪与流传的模糊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：通过结构化的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流传著录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鉴定结论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，清晰区分真迹、摹本与伪作，为计算机辅助鉴定（Computational Connoisseurship）提供可计算依据。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内容与形式的割裂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：引入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图像志 (Iconography)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物理形制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模块，深入解析“画中人”的符号意义与长卷的叙事时空。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通用数据标准：多语言与多源互联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MultiLang 多语言数据对象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为应对简繁混用环境及国际化需求，所有名称、标题、专有名词字段均采用以下标准结构：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"zh_hans": "唐寅",      // [必填] 简体中文 (用于大陆检索/现代NLP)</w:t>
        <w:br w:type="textWrapping"/>
        <w:t xml:space="preserve">  "zh_hant": "唐寅",      // [必填] 繁体中文 (用于古籍匹配/港台检索)</w:t>
        <w:br w:type="textWrapping"/>
        <w:t xml:space="preserve">  "pinyin": "Tang Yin",   // [选填] 拼音 (用于排序/同音字处理)</w:t>
        <w:br w:type="textWrapping"/>
        <w:t xml:space="preserve">  "en": "Tang Yin"        // [选填] 英文 (用于URI生成/国际化展示)</w:t>
        <w:br w:type="textWrapping"/>
        <w:t xml:space="preserve">}</w:t>
        <w:br w:type="textWrapping"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1.2 外部权威库对齐 (Authority Alignment)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本数据库坚持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Linked Open Data (LOD)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原则，核心实体需包含 authority_ids 字段，链接至：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CBDB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(中国历代人物传记资料库): 提供人物唯一 ID、亲属关系定义、职官代码。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Wikidata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(维基数据): 提供多语言名称映射、生卒年校验及 Wikimedia Commons 图像链接。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(中国哲学书电子化计划): 提供古籍全文链接、画论引文定位。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(Getty Art &amp; Architecture Thesaurus): 提供艺术技法、材质的国际标准术语。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Iconclass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(如有): 提供通用图像志分类代码。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M1: 宏观层 (Macro-Level) - 历史参照系与本体库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宏观层不存储具体人物或作品，而是定义系统的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“度量衡”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“分类学”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时序数据 (Temporal Data)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period_id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唯一标识符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period_tang_high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标准名称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"盛唐"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time_span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Struct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公历起止范围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"start": 713, "end": 766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dynastic_year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传统纪年描述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"zh_hant": "開元-天寶年間" }</w:t>
            </w:r>
          </w:p>
        </w:tc>
      </w:tr>
    </w:tbl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空间地理数据 (Spatial Data)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location_id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唯一标识符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loc_wu_suzhou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historical_names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历史曾用名列表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[{ "zh_hant": "平江府" }]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modern_address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现代行政区映射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"江苏省苏州市"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geo_coordinates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GeoPoint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GIS 坐标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[31.2989, 120.5853]</w:t>
            </w:r>
          </w:p>
        </w:tc>
      </w:tr>
    </w:tbl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组织流派数据 (Organization &amp; School)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school_id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流派标识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school_zhe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school_name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流派名称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"浙派"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founder_id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开派宗师引用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meso_dai_jin</w:t>
            </w:r>
          </w:p>
        </w:tc>
      </w:tr>
    </w:tbl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 社会关系与职官本体 (Social &amp; Bureaucratic Ontology)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：定义社交网络分析（SNA）的边类型与节点属性标准。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ontology_id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标识符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rel_type_tongnian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关系/官职名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"同年 (同科进士)"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cbdb_code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CBDB 对应代码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assoc_code_123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类别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Kinship (亲属), Association (社会), Bureaucracy (职官)</w:t>
            </w:r>
          </w:p>
        </w:tc>
      </w:tr>
    </w:tbl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2.5 图像志与题材本体 (Iconography Ontology)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：为 M3 层的内容分析提供分类标准。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icon_id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题材标识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icon_lohan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题材名称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"罗汉", "en": "Arhat/Lohan"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parent_category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上级分类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Buddhist_Figure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attributes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List&lt;String&gt;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常见特征/持物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["Staff (锡杖)", "Alms Bowl (钵)"]</w:t>
            </w:r>
          </w:p>
        </w:tc>
      </w:tr>
    </w:tbl>
    <w:p w:rsidR="00000000" w:rsidDel="00000000" w:rsidP="00000000" w:rsidRDefault="00000000" w:rsidRPr="00000000" w14:paraId="0000007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M2: 中观层 (Meso-Level) - 历史人物与社交网络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这是图谱的核心枢纽层。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历史人物基础信息 (Historical Figure Info)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包含画家、收藏家、赞助人等核心节点。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person_id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唯一标识符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meso_zhao_mengfu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角色类型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Painter, Collector, Patron, Calligrapher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name_primary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标准姓名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"赵孟頫"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courtesy_names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[{ "zh_hans": "子昂" }]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pseudonyms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[{ "zh_hans": "松雪道人" }]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choronym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郡望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"吴兴赵氏"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authority_ids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权威库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"CBDB": "17647", "Wikidata": "Q197463" }</w:t>
            </w:r>
          </w:p>
        </w:tc>
      </w:tr>
    </w:tbl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履历与仕途 (Curriculum Vitae)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记录文人画家的科举功名与历任官职，构建其政治社会地位坐标。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cv_id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履历标识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cv_zhao_mengfu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entry_mode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入仕途径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Recommendation (荐举), Examination (科举)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career_postings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List&lt;Struct&gt;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任官履历表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包含：官名、品阶、任期、任地、CBDB代码</w:t>
            </w:r>
          </w:p>
        </w:tc>
      </w:tr>
    </w:tbl>
    <w:p w:rsidR="00000000" w:rsidDel="00000000" w:rsidP="00000000" w:rsidRDefault="00000000" w:rsidRPr="00000000" w14:paraId="000000B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核心文献：画家传记与总评 (Painter Literature: Biography &amp; General Criticism)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：仅记录针对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画家本体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的历史评价（如品第、风格定论）与生平传记。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source_id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记录标识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lit_rec_001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person_ref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关联画家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meso_zhao_mengfu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book_title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典籍名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"zh_hant": "《圖繪寶鑑》"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文献类型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Biography (传记), General_Criticism (总评), Anecdote (轶事)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painter_ranking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画家品第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神品 (Divine Class), 逸品 (Untrammeled Class)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quote_text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评价引文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"荣际五朝，名满四海，书画兼绝..."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ctext_urn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CTEXT 链接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ctext:org:tuhui-baojian:zhao-mengfu</w:t>
            </w:r>
          </w:p>
        </w:tc>
      </w:tr>
    </w:tbl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 社交关系 (Social Relations)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source_id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起始人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meso_tang_yin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target_id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目标人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meso_shen_zhou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relation_type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关系类型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rel_type_teacher (关联 M1.4)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external_ref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LinkObj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证据链接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"CBDB_Relation_ID": "..." }</w:t>
            </w:r>
          </w:p>
        </w:tc>
      </w:tr>
    </w:tbl>
    <w:p w:rsidR="00000000" w:rsidDel="00000000" w:rsidP="00000000" w:rsidRDefault="00000000" w:rsidRPr="00000000" w14:paraId="000000E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3.5 生平事件与创作背景 (Life Events &amp; Production Context)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：将“名作诞生”视为画家生命史中的核心事件，从而连接 M2 与 M3。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event_id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事件标识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evt_painting_fuchun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year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发生年份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1350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event_type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事件类别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Creation (创作), Political (政治), Travel (游历)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 (MultiLang)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事件描述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"为师弟无用师绘制《富春山居图》..."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related_work_id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关联作品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work_fuchun_mountains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linked_data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List&lt;URL&gt;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外部链接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["https://ctext.org/..."]</w:t>
            </w:r>
          </w:p>
        </w:tc>
      </w:tr>
    </w:tbl>
    <w:p w:rsidR="00000000" w:rsidDel="00000000" w:rsidP="00000000" w:rsidRDefault="00000000" w:rsidRPr="00000000" w14:paraId="000001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M3: 微观层 (Micro-Level) - 艺术本体与视觉证据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此层级整合了存世实物证据（博物馆藏品）与古籍文献证据（已佚作品）。</w:t>
      </w:r>
    </w:p>
    <w:p w:rsidR="00000000" w:rsidDel="00000000" w:rsidP="00000000" w:rsidRDefault="00000000" w:rsidRPr="00000000" w14:paraId="000001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技法与风格本体 (Technique &amp; Style Ontology)</w:t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technique_id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技法标识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tech_iron_wire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技法名称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"铁线描"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visual_desc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特征描述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"线条粗细均匀，如铁丝..."</w:t>
            </w:r>
          </w:p>
        </w:tc>
      </w:tr>
    </w:tbl>
    <w:p w:rsidR="00000000" w:rsidDel="00000000" w:rsidP="00000000" w:rsidRDefault="00000000" w:rsidRPr="00000000" w14:paraId="000001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材质与科技考古 (Materials &amp; Scientific Analysis)</w:t>
      </w:r>
    </w:p>
    <w:tbl>
      <w:tblPr>
        <w:tblStyle w:val="Table1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material_id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记录标识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mat_001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载体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Silk (绢), Paper (纸)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pigment_data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List&lt;Struct&gt;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颜料分析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[{ "color": "Blue", "mineral": "Azurite" }]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scientific_ref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List&lt;URL&gt;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实验室报告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["https://doi.org/..."]</w:t>
            </w:r>
          </w:p>
        </w:tc>
      </w:tr>
    </w:tbl>
    <w:p w:rsidR="00000000" w:rsidDel="00000000" w:rsidP="00000000" w:rsidRDefault="00000000" w:rsidRPr="00000000" w14:paraId="000001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作品实体与存世状态 (Work Entity &amp; Preservation Status)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：区分“存世”与“亡佚”作品的处理逻辑。</w:t>
      </w:r>
    </w:p>
    <w:tbl>
      <w:tblPr>
        <w:tblStyle w:val="Table1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作品标识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work_luoshen_fu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题名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"洛神赋图"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preservation_status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存世状态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Extant (存世), Lost (亡佚), Copy (摹本)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dimensions_detail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Struct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详细尺寸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含画心、通幅、题跋区尺寸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iiif_manifest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IIIF 链接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(仅存世作品有值)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literature_evidence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List&lt;Struct&gt;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古籍著录证据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(亡佚作品必填)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provenance_chain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List&lt;Struct&gt;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流传链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(所有者序列)</w:t>
            </w:r>
          </w:p>
        </w:tc>
      </w:tr>
    </w:tbl>
    <w:p w:rsidR="00000000" w:rsidDel="00000000" w:rsidP="00000000" w:rsidRDefault="00000000" w:rsidRPr="00000000" w14:paraId="000001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Dimensions Detail (尺寸详情) 结构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"unit": "cm", </w:t>
        <w:br w:type="textWrapping"/>
        <w:t xml:space="preserve">  "format": "Handscroll", </w:t>
        <w:br w:type="textWrapping"/>
        <w:t xml:space="preserve">  "painting_core": { "height": 27.1, "width": 572.8 },</w:t>
        <w:br w:type="textWrapping"/>
        <w:t xml:space="preserve">  "full_mounting": { "height": 27.5, "width": 1050.0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1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 画面文字与印章 (Inscriptions &amp; Seals)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画作物理表面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存在的题跋与印章（Primary Evidence），需支持释文与图像定位。</w:t>
      </w:r>
    </w:p>
    <w:tbl>
      <w:tblPr>
        <w:tblStyle w:val="Table1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entity_id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seal_qianlong_01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Seal (印), Inscription (跋)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释文/印文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"乾隆御览之宝"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owner_ref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归属人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meso_qianlong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visual_region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IIIF Region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图像坐标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xywh=50,50,100,100</w:t>
            </w:r>
          </w:p>
        </w:tc>
      </w:tr>
    </w:tbl>
    <w:p w:rsidR="00000000" w:rsidDel="00000000" w:rsidP="00000000" w:rsidRDefault="00000000" w:rsidRPr="00000000" w14:paraId="000001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4.5 鉴定与真伪判别 (Authentication &amp; Attribution)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：记录学术界或鉴定家对该作品的真伪裁决。</w:t>
      </w:r>
    </w:p>
    <w:tbl>
      <w:tblPr>
        <w:tblStyle w:val="Table1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verdict_id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鉴定标识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verdict_xu_01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expert_ref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鉴定家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meso_xu_bangda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verdict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结论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Genuine (真迹), Fake (伪作), Copy (摹本), School_Of (流派作)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argument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理由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"笔墨疲弱，款识虽真，画乃代笔..."</w:t>
            </w:r>
          </w:p>
        </w:tc>
      </w:tr>
    </w:tbl>
    <w:p w:rsidR="00000000" w:rsidDel="00000000" w:rsidP="00000000" w:rsidRDefault="00000000" w:rsidRPr="00000000" w14:paraId="000001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4.6 图像志、叙事与内容要素 (Iconography, Narrative &amp; Content Elements)</w:t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：解决“画了什么”的问题，从叙事段落到微观器物。</w:t>
      </w:r>
    </w:p>
    <w:tbl>
      <w:tblPr>
        <w:tblStyle w:val="Table1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element_id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元素标识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elem_han_xizai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所属作品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work_han_xizai_night_revels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narrative_scene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所属叙事段落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"第一段：听乐"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身份/角色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"韩熙载"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icon_type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题材分类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icon_scholar_official (关联 M1.5)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posture_gesture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姿态与手印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"盘膝而坐"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costume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服饰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"高冠，道袍"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visual_region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IIIF Region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图像坐标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xywh=2000,500,300,800</w:t>
            </w:r>
          </w:p>
        </w:tc>
      </w:tr>
    </w:tbl>
    <w:p w:rsidR="00000000" w:rsidDel="00000000" w:rsidP="00000000" w:rsidRDefault="00000000" w:rsidRPr="00000000" w14:paraId="000001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4.7 物理结构与分段 (Physical Structure &amp; Segmentation)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：结构化描述中国长卷/册页的复杂形制。</w:t>
      </w:r>
    </w:p>
    <w:tbl>
      <w:tblPr>
        <w:tblStyle w:val="Table1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segment_id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分段标识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seg_01_frontispiece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所属作品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work_fuchun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section_type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段落类型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Frontispiece (引首), Painting_Core (画心), Colophon (拖尾)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iiif_canvas_id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IIIF Canvas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.../canvas/1</w:t>
            </w:r>
          </w:p>
        </w:tc>
      </w:tr>
    </w:tbl>
    <w:p w:rsidR="00000000" w:rsidDel="00000000" w:rsidP="00000000" w:rsidRDefault="00000000" w:rsidRPr="00000000" w14:paraId="000001C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4.8 作品文献：个案考证与鉴赏 (Work Literature: Specific Criticism &amp; Connoisseurship)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：记录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古籍文献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特定画作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的著录、点评与考证（Secondary Evidence）。</w:t>
      </w:r>
    </w:p>
    <w:tbl>
      <w:tblPr>
        <w:tblStyle w:val="Table1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示例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record_id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记录标识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lit_work_rec_001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关联作品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work_autumn_colors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book_title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MultiLang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出处典籍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{ "zh_hans": "《画禅室随笔》"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author_ref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评论者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meso_dong_qichang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comment_type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评论类型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Authentication (真伪考证), Catalogue_Entry (著录条目)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criticism_text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具体评语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"兼右丞、北苑二家画法，有唐人之致去其纤..."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ctext_urn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CTEXT 链接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ctext:org:huachan-shi-suibi:...</w:t>
            </w:r>
          </w:p>
        </w:tc>
      </w:tr>
    </w:tbl>
    <w:p w:rsidR="00000000" w:rsidDel="00000000" w:rsidP="00000000" w:rsidRDefault="00000000" w:rsidRPr="00000000" w14:paraId="000001E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统一图谱逻辑示例 (JSON-LD)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本示例展示了一个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存世名作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(《洛神赋图》宋摹本) 的完整数据，包含详细尺寸与图像志叙事。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"@context": "[http://kg.art/schema](http://kg.art/schema)",</w:t>
        <w:br w:type="textWrapping"/>
        <w:t xml:space="preserve">  "id": "work_luoshen_song_copy",</w:t>
        <w:br w:type="textWrapping"/>
        <w:t xml:space="preserve">  "type": "ArtWork",</w:t>
        <w:br w:type="textWrapping"/>
        <w:t xml:space="preserve">  "basic_info": {</w:t>
        <w:br w:type="textWrapping"/>
        <w:t xml:space="preserve">    "title": { "zh_hans": "洛神赋图 (宋摹本)" },</w:t>
        <w:br w:type="textWrapping"/>
        <w:t xml:space="preserve">    "preservation_status": "Copy",</w:t>
        <w:br w:type="textWrapping"/>
        <w:t xml:space="preserve">    "attribution": "Attr. Gu Kaizhi"</w:t>
        <w:br w:type="textWrapping"/>
        <w:t xml:space="preserve">  },</w:t>
        <w:br w:type="textWrapping"/>
        <w:t xml:space="preserve">  </w:t>
        <w:br w:type="textWrapping"/>
        <w:t xml:space="preserve">  // M3.3 尺寸详情</w:t>
        <w:br w:type="textWrapping"/>
        <w:t xml:space="preserve">  "dimensions_detail": {</w:t>
        <w:br w:type="textWrapping"/>
        <w:t xml:space="preserve">    "unit": "cm",</w:t>
        <w:br w:type="textWrapping"/>
        <w:t xml:space="preserve">    "format": "Handscroll",</w:t>
        <w:br w:type="textWrapping"/>
        <w:t xml:space="preserve">    "painting_core": { "height": 27.1, "width": 572.8 },</w:t>
        <w:br w:type="textWrapping"/>
        <w:t xml:space="preserve">    "full_mounting": { "height": 27.5, "width": 1050.0 }</w:t>
        <w:br w:type="textWrapping"/>
        <w:t xml:space="preserve">  },</w:t>
        <w:br w:type="textWrapping"/>
        <w:br w:type="textWrapping"/>
        <w:t xml:space="preserve">  // M3.8 作品个案评论 (书本中的评价)</w:t>
        <w:br w:type="textWrapping"/>
        <w:t xml:space="preserve">  "external_criticism": [</w:t>
        <w:br w:type="textWrapping"/>
        <w:t xml:space="preserve">    {</w:t>
        <w:br w:type="textWrapping"/>
        <w:t xml:space="preserve">      "book": "《石渠宝笈》",</w:t>
        <w:br w:type="textWrapping"/>
        <w:t xml:space="preserve">      "type": "Catalogue_Entry",</w:t>
        <w:br w:type="textWrapping"/>
        <w:t xml:space="preserve">      "text": "贮御书房，上等天一"</w:t>
        <w:br w:type="textWrapping"/>
        <w:t xml:space="preserve">    },</w:t>
        <w:br w:type="textWrapping"/>
        <w:t xml:space="preserve">    {</w:t>
        <w:br w:type="textWrapping"/>
        <w:t xml:space="preserve">      "book": "《清河书画舫》",</w:t>
        <w:br w:type="textWrapping"/>
        <w:t xml:space="preserve">      "author": "张丑",</w:t>
        <w:br w:type="textWrapping"/>
        <w:t xml:space="preserve">      "type": "Authentication",</w:t>
        <w:br w:type="textWrapping"/>
        <w:t xml:space="preserve">      "text": "此卷绢素已黑，然古意犹存..."</w:t>
        <w:br w:type="textWrapping"/>
        <w:t xml:space="preserve">    }</w:t>
        <w:br w:type="textWrapping"/>
        <w:t xml:space="preserve">  ],</w:t>
        <w:br w:type="textWrapping"/>
        <w:br w:type="textWrapping"/>
        <w:t xml:space="preserve">  // M3.6: 图像志 (画了什么 - 包含叙事)</w:t>
        <w:br w:type="textWrapping"/>
        <w:t xml:space="preserve">  "iconography": [</w:t>
        <w:br w:type="textWrapping"/>
        <w:t xml:space="preserve">    {</w:t>
        <w:br w:type="textWrapping"/>
        <w:t xml:space="preserve">      "narrative_scene": { "zh_hans": "邂逅洛神" },</w:t>
        <w:br w:type="textWrapping"/>
        <w:t xml:space="preserve">      "identity": { "zh_hans": "洛神" },</w:t>
        <w:br w:type="textWrapping"/>
        <w:t xml:space="preserve">      "type": "icon_deity",</w:t>
        <w:br w:type="textWrapping"/>
        <w:t xml:space="preserve">      "visual_region": "xywh=...",</w:t>
        <w:br w:type="textWrapping"/>
        <w:t xml:space="preserve">      "costume": { "zh_hans": "广袖流仙裙" },</w:t>
        <w:br w:type="textWrapping"/>
        <w:t xml:space="preserve">      "attributes": ["飘带", "云车"]</w:t>
        <w:br w:type="textWrapping"/>
        <w:t xml:space="preserve">    }</w:t>
        <w:br w:type="textWrapping"/>
        <w:t xml:space="preserve">  ],</w:t>
        <w:br w:type="textWrapping"/>
        <w:br w:type="textWrapping"/>
        <w:t xml:space="preserve">  // M3.5: 鉴定结论</w:t>
        <w:br w:type="textWrapping"/>
        <w:t xml:space="preserve">  "authentication": [</w:t>
        <w:br w:type="textWrapping"/>
        <w:t xml:space="preserve">    { "expert": "徐邦达", "verdict": "Copy", "date": "Song Dynasty", "argument": "笔法虽高古，然绢质为宋..." }</w:t>
        <w:br w:type="textWrapping"/>
        <w:t xml:space="preserve">  ]</w:t>
        <w:br w:type="textWrapping"/>
        <w:t xml:space="preserve">}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